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9EF1B3" w14:textId="77777777" w:rsidR="00911C5F" w:rsidRDefault="00911C5F">
      <w:pPr>
        <w:widowControl w:val="0"/>
        <w:autoSpaceDE w:val="0"/>
        <w:autoSpaceDN w:val="0"/>
        <w:adjustRightInd w:val="0"/>
        <w:spacing w:after="0" w:line="240" w:lineRule="auto"/>
        <w:jc w:val="center"/>
        <w:rPr>
          <w:rFonts w:ascii="Times New Roman CYR" w:hAnsi="Times New Roman CYR" w:cs="Times New Roman CYR"/>
          <w:sz w:val="28"/>
          <w:szCs w:val="28"/>
        </w:rPr>
      </w:pPr>
      <w:r>
        <w:rPr>
          <w:rFonts w:ascii="Times New Roman CYR" w:hAnsi="Times New Roman CYR" w:cs="Times New Roman CYR"/>
          <w:b/>
          <w:bCs/>
          <w:sz w:val="28"/>
          <w:szCs w:val="28"/>
        </w:rPr>
        <w:t>Титульний аркуш Повідомлення (Повідомлення про інформацію)</w:t>
      </w:r>
    </w:p>
    <w:p w14:paraId="69AB224D" w14:textId="77777777" w:rsidR="00911C5F" w:rsidRDefault="00911C5F">
      <w:pPr>
        <w:widowControl w:val="0"/>
        <w:autoSpaceDE w:val="0"/>
        <w:autoSpaceDN w:val="0"/>
        <w:adjustRightInd w:val="0"/>
        <w:spacing w:after="0" w:line="240" w:lineRule="auto"/>
        <w:jc w:val="center"/>
        <w:rPr>
          <w:rFonts w:ascii="Times New Roman CYR" w:hAnsi="Times New Roman CYR" w:cs="Times New Roman CYR"/>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0"/>
      </w:tblGrid>
      <w:tr w:rsidR="00911C5F" w14:paraId="401ECB87" w14:textId="77777777">
        <w:tblPrEx>
          <w:tblCellMar>
            <w:top w:w="0" w:type="dxa"/>
            <w:bottom w:w="0" w:type="dxa"/>
          </w:tblCellMar>
        </w:tblPrEx>
        <w:trPr>
          <w:trHeight w:val="300"/>
        </w:trPr>
        <w:tc>
          <w:tcPr>
            <w:tcW w:w="5500" w:type="dxa"/>
            <w:tcBorders>
              <w:top w:val="nil"/>
              <w:left w:val="nil"/>
              <w:bottom w:val="single" w:sz="6" w:space="0" w:color="auto"/>
              <w:right w:val="nil"/>
            </w:tcBorders>
            <w:vAlign w:val="bottom"/>
          </w:tcPr>
          <w:p w14:paraId="654FC3FE" w14:textId="77777777" w:rsidR="00911C5F" w:rsidRDefault="0020308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lang w:val="ru-RU"/>
              </w:rPr>
              <w:t>11</w:t>
            </w:r>
            <w:r w:rsidR="00911C5F">
              <w:rPr>
                <w:rFonts w:ascii="Times New Roman CYR" w:hAnsi="Times New Roman CYR" w:cs="Times New Roman CYR"/>
                <w:sz w:val="24"/>
                <w:szCs w:val="24"/>
              </w:rPr>
              <w:t>.07.2022</w:t>
            </w:r>
          </w:p>
        </w:tc>
      </w:tr>
      <w:tr w:rsidR="00911C5F" w14:paraId="686B1472" w14:textId="77777777">
        <w:tblPrEx>
          <w:tblCellMar>
            <w:top w:w="0" w:type="dxa"/>
            <w:bottom w:w="0" w:type="dxa"/>
          </w:tblCellMar>
        </w:tblPrEx>
        <w:trPr>
          <w:trHeight w:val="300"/>
        </w:trPr>
        <w:tc>
          <w:tcPr>
            <w:tcW w:w="5500" w:type="dxa"/>
            <w:tcBorders>
              <w:top w:val="nil"/>
              <w:left w:val="nil"/>
              <w:bottom w:val="nil"/>
              <w:right w:val="nil"/>
            </w:tcBorders>
            <w:vAlign w:val="bottom"/>
          </w:tcPr>
          <w:p w14:paraId="7872D53A" w14:textId="77777777" w:rsidR="00911C5F" w:rsidRDefault="00911C5F">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(дата реєстрації емітентом електронного документа)</w:t>
            </w:r>
          </w:p>
        </w:tc>
      </w:tr>
      <w:tr w:rsidR="00911C5F" w14:paraId="5C9792AA" w14:textId="77777777">
        <w:tblPrEx>
          <w:tblCellMar>
            <w:top w:w="0" w:type="dxa"/>
            <w:bottom w:w="0" w:type="dxa"/>
          </w:tblCellMar>
        </w:tblPrEx>
        <w:trPr>
          <w:trHeight w:val="300"/>
        </w:trPr>
        <w:tc>
          <w:tcPr>
            <w:tcW w:w="5500" w:type="dxa"/>
            <w:tcBorders>
              <w:top w:val="nil"/>
              <w:left w:val="nil"/>
              <w:bottom w:val="single" w:sz="6" w:space="0" w:color="auto"/>
              <w:right w:val="nil"/>
            </w:tcBorders>
            <w:vAlign w:val="bottom"/>
          </w:tcPr>
          <w:p w14:paraId="6EFC3559" w14:textId="77777777" w:rsidR="00911C5F" w:rsidRDefault="00911C5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12</w:t>
            </w:r>
          </w:p>
        </w:tc>
      </w:tr>
      <w:tr w:rsidR="00911C5F" w14:paraId="3016894A" w14:textId="77777777">
        <w:tblPrEx>
          <w:tblCellMar>
            <w:top w:w="0" w:type="dxa"/>
            <w:bottom w:w="0" w:type="dxa"/>
          </w:tblCellMar>
        </w:tblPrEx>
        <w:trPr>
          <w:trHeight w:val="300"/>
        </w:trPr>
        <w:tc>
          <w:tcPr>
            <w:tcW w:w="5500" w:type="dxa"/>
            <w:tcBorders>
              <w:top w:val="nil"/>
              <w:left w:val="nil"/>
              <w:bottom w:val="nil"/>
              <w:right w:val="nil"/>
            </w:tcBorders>
            <w:vAlign w:val="bottom"/>
          </w:tcPr>
          <w:p w14:paraId="3DE25CFF" w14:textId="77777777" w:rsidR="00911C5F" w:rsidRDefault="00911C5F">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(вихідний реєстраційний номер електронного документа)</w:t>
            </w:r>
          </w:p>
        </w:tc>
      </w:tr>
    </w:tbl>
    <w:p w14:paraId="6B9DAFE0" w14:textId="77777777" w:rsidR="00911C5F" w:rsidRDefault="00911C5F">
      <w:pPr>
        <w:widowControl w:val="0"/>
        <w:autoSpaceDE w:val="0"/>
        <w:autoSpaceDN w:val="0"/>
        <w:adjustRightInd w:val="0"/>
        <w:spacing w:after="0" w:line="240" w:lineRule="auto"/>
        <w:rPr>
          <w:rFonts w:ascii="Times New Roman CYR" w:hAnsi="Times New Roman CYR" w:cs="Times New Roman CYR"/>
          <w:sz w:val="20"/>
          <w:szCs w:val="2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580"/>
      </w:tblGrid>
      <w:tr w:rsidR="00911C5F" w14:paraId="5C648CA8" w14:textId="77777777">
        <w:tblPrEx>
          <w:tblCellMar>
            <w:top w:w="0" w:type="dxa"/>
            <w:bottom w:w="0" w:type="dxa"/>
          </w:tblCellMar>
        </w:tblPrEx>
        <w:trPr>
          <w:trHeight w:val="300"/>
        </w:trPr>
        <w:tc>
          <w:tcPr>
            <w:tcW w:w="10580" w:type="dxa"/>
            <w:tcBorders>
              <w:top w:val="nil"/>
              <w:left w:val="nil"/>
              <w:bottom w:val="nil"/>
              <w:right w:val="nil"/>
            </w:tcBorders>
            <w:vAlign w:val="bottom"/>
          </w:tcPr>
          <w:p w14:paraId="1B7115F8" w14:textId="77777777" w:rsidR="00911C5F" w:rsidRDefault="00911C5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затвердженого рішенням Національної комісії з цінних паперів та фондового ринку від 03 грудня 2013 року № 2826, зареєстрованого в Міністерстві юстиції України 24 грудня 2013 року за № 2180/24712 (із змінами).</w:t>
            </w:r>
          </w:p>
        </w:tc>
      </w:tr>
    </w:tbl>
    <w:p w14:paraId="1874E066" w14:textId="77777777" w:rsidR="00911C5F" w:rsidRDefault="00911C5F">
      <w:pPr>
        <w:widowControl w:val="0"/>
        <w:autoSpaceDE w:val="0"/>
        <w:autoSpaceDN w:val="0"/>
        <w:adjustRightInd w:val="0"/>
        <w:spacing w:after="0" w:line="240" w:lineRule="auto"/>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140"/>
        <w:gridCol w:w="236"/>
        <w:gridCol w:w="1354"/>
        <w:gridCol w:w="236"/>
        <w:gridCol w:w="4654"/>
      </w:tblGrid>
      <w:tr w:rsidR="00911C5F" w14:paraId="3BC09B00" w14:textId="77777777">
        <w:tblPrEx>
          <w:tblCellMar>
            <w:top w:w="0" w:type="dxa"/>
            <w:bottom w:w="0" w:type="dxa"/>
          </w:tblCellMar>
        </w:tblPrEx>
        <w:trPr>
          <w:trHeight w:val="200"/>
        </w:trPr>
        <w:tc>
          <w:tcPr>
            <w:tcW w:w="4140" w:type="dxa"/>
            <w:tcBorders>
              <w:top w:val="nil"/>
              <w:left w:val="nil"/>
              <w:bottom w:val="single" w:sz="6" w:space="0" w:color="auto"/>
              <w:right w:val="nil"/>
            </w:tcBorders>
            <w:vAlign w:val="bottom"/>
          </w:tcPr>
          <w:p w14:paraId="56D17AF3" w14:textId="77777777" w:rsidR="00911C5F" w:rsidRDefault="00911C5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в.о. генерального директора</w:t>
            </w:r>
          </w:p>
        </w:tc>
        <w:tc>
          <w:tcPr>
            <w:tcW w:w="216" w:type="dxa"/>
            <w:tcBorders>
              <w:top w:val="nil"/>
              <w:left w:val="nil"/>
              <w:bottom w:val="nil"/>
              <w:right w:val="nil"/>
            </w:tcBorders>
          </w:tcPr>
          <w:p w14:paraId="3D66AA93" w14:textId="77777777" w:rsidR="00911C5F" w:rsidRDefault="00911C5F">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354" w:type="dxa"/>
            <w:tcBorders>
              <w:top w:val="nil"/>
              <w:left w:val="nil"/>
              <w:bottom w:val="single" w:sz="6" w:space="0" w:color="auto"/>
              <w:right w:val="nil"/>
            </w:tcBorders>
            <w:vAlign w:val="bottom"/>
          </w:tcPr>
          <w:p w14:paraId="26AA8B44" w14:textId="77777777" w:rsidR="00911C5F" w:rsidRDefault="00911C5F">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216" w:type="dxa"/>
            <w:tcBorders>
              <w:top w:val="nil"/>
              <w:left w:val="nil"/>
              <w:bottom w:val="nil"/>
              <w:right w:val="nil"/>
            </w:tcBorders>
          </w:tcPr>
          <w:p w14:paraId="77AD7C94" w14:textId="77777777" w:rsidR="00911C5F" w:rsidRDefault="00911C5F">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4654" w:type="dxa"/>
            <w:tcBorders>
              <w:top w:val="nil"/>
              <w:left w:val="nil"/>
              <w:bottom w:val="single" w:sz="6" w:space="0" w:color="auto"/>
              <w:right w:val="nil"/>
            </w:tcBorders>
            <w:vAlign w:val="bottom"/>
          </w:tcPr>
          <w:p w14:paraId="5591218A" w14:textId="77777777" w:rsidR="00911C5F" w:rsidRDefault="00911C5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Андрій ЧУРКІН</w:t>
            </w:r>
          </w:p>
        </w:tc>
      </w:tr>
      <w:tr w:rsidR="00911C5F" w14:paraId="48DEE1EB" w14:textId="77777777">
        <w:tblPrEx>
          <w:tblCellMar>
            <w:top w:w="0" w:type="dxa"/>
            <w:bottom w:w="0" w:type="dxa"/>
          </w:tblCellMar>
        </w:tblPrEx>
        <w:trPr>
          <w:trHeight w:val="200"/>
        </w:trPr>
        <w:tc>
          <w:tcPr>
            <w:tcW w:w="4140" w:type="dxa"/>
            <w:tcBorders>
              <w:top w:val="nil"/>
              <w:left w:val="nil"/>
              <w:bottom w:val="nil"/>
              <w:right w:val="nil"/>
            </w:tcBorders>
          </w:tcPr>
          <w:p w14:paraId="6707301B" w14:textId="77777777" w:rsidR="00911C5F" w:rsidRDefault="00911C5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6" w:type="dxa"/>
            <w:tcBorders>
              <w:top w:val="nil"/>
              <w:left w:val="nil"/>
              <w:bottom w:val="nil"/>
              <w:right w:val="nil"/>
            </w:tcBorders>
          </w:tcPr>
          <w:p w14:paraId="19CD653C" w14:textId="77777777" w:rsidR="00911C5F" w:rsidRDefault="00911C5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354" w:type="dxa"/>
            <w:tcBorders>
              <w:top w:val="nil"/>
              <w:left w:val="nil"/>
              <w:bottom w:val="nil"/>
              <w:right w:val="nil"/>
            </w:tcBorders>
          </w:tcPr>
          <w:p w14:paraId="77B17813" w14:textId="77777777" w:rsidR="00911C5F" w:rsidRDefault="00911C5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(підпис)</w:t>
            </w:r>
          </w:p>
        </w:tc>
        <w:tc>
          <w:tcPr>
            <w:tcW w:w="216" w:type="dxa"/>
            <w:tcBorders>
              <w:top w:val="nil"/>
              <w:left w:val="nil"/>
              <w:bottom w:val="nil"/>
              <w:right w:val="nil"/>
            </w:tcBorders>
          </w:tcPr>
          <w:p w14:paraId="6E586377" w14:textId="77777777" w:rsidR="00911C5F" w:rsidRDefault="00911C5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4654" w:type="dxa"/>
            <w:tcBorders>
              <w:top w:val="nil"/>
              <w:left w:val="nil"/>
              <w:bottom w:val="nil"/>
              <w:right w:val="nil"/>
            </w:tcBorders>
          </w:tcPr>
          <w:p w14:paraId="4FECC218" w14:textId="77777777" w:rsidR="00911C5F" w:rsidRDefault="00911C5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(прізвище та ініціали керівника або уповноваженої особи емітента)</w:t>
            </w:r>
          </w:p>
        </w:tc>
      </w:tr>
    </w:tbl>
    <w:p w14:paraId="298DCDFD" w14:textId="77777777" w:rsidR="00911C5F" w:rsidRDefault="00911C5F">
      <w:pPr>
        <w:widowControl w:val="0"/>
        <w:autoSpaceDE w:val="0"/>
        <w:autoSpaceDN w:val="0"/>
        <w:adjustRightInd w:val="0"/>
        <w:spacing w:after="0" w:line="240" w:lineRule="auto"/>
        <w:rPr>
          <w:rFonts w:ascii="Times New Roman CYR" w:hAnsi="Times New Roman CYR" w:cs="Times New Roman CYR"/>
          <w:sz w:val="20"/>
          <w:szCs w:val="20"/>
        </w:rPr>
      </w:pPr>
    </w:p>
    <w:p w14:paraId="40241FAD" w14:textId="77777777" w:rsidR="00911C5F" w:rsidRDefault="00911C5F">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Особлива інформація (інформація про іпотечні цінні папери, сертифікати фонду операцій з нерухомістю) емітента</w:t>
      </w:r>
    </w:p>
    <w:p w14:paraId="44E0159A" w14:textId="77777777" w:rsidR="00911C5F" w:rsidRDefault="00911C5F">
      <w:pPr>
        <w:widowControl w:val="0"/>
        <w:autoSpaceDE w:val="0"/>
        <w:autoSpaceDN w:val="0"/>
        <w:adjustRightInd w:val="0"/>
        <w:spacing w:after="0" w:line="240" w:lineRule="auto"/>
        <w:rPr>
          <w:rFonts w:ascii="Times New Roman CYR" w:hAnsi="Times New Roman CYR" w:cs="Times New Roman CYR"/>
          <w:b/>
          <w:bCs/>
          <w:sz w:val="28"/>
          <w:szCs w:val="28"/>
        </w:rPr>
      </w:pPr>
    </w:p>
    <w:p w14:paraId="63A9820B" w14:textId="77777777" w:rsidR="00911C5F" w:rsidRDefault="00911C5F">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І. Загальні відомості</w:t>
      </w:r>
    </w:p>
    <w:p w14:paraId="78EEDCAC" w14:textId="77777777" w:rsidR="00911C5F" w:rsidRDefault="00911C5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Повне найменування емітента:</w:t>
      </w:r>
    </w:p>
    <w:p w14:paraId="7E94BC46" w14:textId="77777777" w:rsidR="00911C5F" w:rsidRDefault="00911C5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Приватне акціонерне товариство "Харківенергозбут"</w:t>
      </w:r>
    </w:p>
    <w:p w14:paraId="2B07CB22" w14:textId="77777777" w:rsidR="00911C5F" w:rsidRDefault="00911C5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Організаційно-правова форма:</w:t>
      </w:r>
    </w:p>
    <w:p w14:paraId="65089B03" w14:textId="77777777" w:rsidR="00911C5F" w:rsidRDefault="00911C5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Приватне акціонерне товариство</w:t>
      </w:r>
    </w:p>
    <w:p w14:paraId="162F9CC2" w14:textId="77777777" w:rsidR="00911C5F" w:rsidRDefault="00911C5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Місцезнаходження:</w:t>
      </w:r>
    </w:p>
    <w:p w14:paraId="3B9D69B6" w14:textId="77777777" w:rsidR="00911C5F" w:rsidRDefault="00911C5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61037, Харківська обл., місто Харків, вулиця Плеханівська, будинок 126</w:t>
      </w:r>
    </w:p>
    <w:p w14:paraId="20ED3D8A" w14:textId="77777777" w:rsidR="00911C5F" w:rsidRDefault="00911C5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Ідентифікаційний код юридичної особи:</w:t>
      </w:r>
    </w:p>
    <w:p w14:paraId="485EA97B" w14:textId="77777777" w:rsidR="00911C5F" w:rsidRDefault="00911C5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42206328</w:t>
      </w:r>
    </w:p>
    <w:p w14:paraId="72989F0F" w14:textId="77777777" w:rsidR="00911C5F" w:rsidRDefault="00911C5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5. Міжміський код та телефон, факс:</w:t>
      </w:r>
    </w:p>
    <w:p w14:paraId="641AF84F" w14:textId="77777777" w:rsidR="00911C5F" w:rsidRDefault="00911C5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057-342-60-16, -</w:t>
      </w:r>
    </w:p>
    <w:p w14:paraId="79B4E442" w14:textId="77777777" w:rsidR="00911C5F" w:rsidRDefault="00911C5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6. Адреса електронної пошти:</w:t>
      </w:r>
    </w:p>
    <w:p w14:paraId="2BA5B7F5" w14:textId="77777777" w:rsidR="00911C5F" w:rsidRDefault="00911C5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zbutenergo@ukr.net</w:t>
      </w:r>
    </w:p>
    <w:p w14:paraId="0F8EEEC6" w14:textId="77777777" w:rsidR="00911C5F" w:rsidRDefault="00911C5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7.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фондовому ринку, особи, яка проводить діяльність з оприлюднення регульованої інформації від імені учасника фондового ринку (у разі здійснення оприлюднення):</w:t>
      </w:r>
    </w:p>
    <w:p w14:paraId="796AE151" w14:textId="77777777" w:rsidR="00911C5F" w:rsidRDefault="00911C5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r>
    </w:p>
    <w:p w14:paraId="1452D3E5" w14:textId="77777777" w:rsidR="00911C5F" w:rsidRDefault="00911C5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8.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фондовому ринку, особи, яка здійснює подання звітності та/або адміністративних даних до Національної комісії з цінних паперів та фондового ринку (у разі, якщо емітент не подає Інформацію до Національної комісії з цінних паперів та фондового ринку безпосередньо):</w:t>
      </w:r>
    </w:p>
    <w:p w14:paraId="4897A838" w14:textId="77777777" w:rsidR="00911C5F" w:rsidRDefault="00911C5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Державна установа "Агентство з розвитку інфраструктури фондового ринку України", 21676262, Україна, DR/00002/ARM</w:t>
      </w:r>
    </w:p>
    <w:p w14:paraId="7D1D56BD" w14:textId="77777777" w:rsidR="00911C5F" w:rsidRDefault="00911C5F">
      <w:pPr>
        <w:widowControl w:val="0"/>
        <w:autoSpaceDE w:val="0"/>
        <w:autoSpaceDN w:val="0"/>
        <w:adjustRightInd w:val="0"/>
        <w:spacing w:after="0" w:line="240" w:lineRule="auto"/>
        <w:rPr>
          <w:rFonts w:ascii="Times New Roman CYR" w:hAnsi="Times New Roman CYR" w:cs="Times New Roman CYR"/>
          <w:sz w:val="24"/>
          <w:szCs w:val="24"/>
        </w:rPr>
      </w:pPr>
    </w:p>
    <w:p w14:paraId="69958E2A" w14:textId="77777777" w:rsidR="00911C5F" w:rsidRDefault="00911C5F">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 xml:space="preserve">ІІ. Дані про дату та місце оприлюднення Повідомлення (Повідомлення про інформацію) </w:t>
      </w:r>
    </w:p>
    <w:p w14:paraId="297BC4B0" w14:textId="77777777" w:rsidR="00911C5F" w:rsidRDefault="00911C5F">
      <w:pPr>
        <w:widowControl w:val="0"/>
        <w:autoSpaceDE w:val="0"/>
        <w:autoSpaceDN w:val="0"/>
        <w:adjustRightInd w:val="0"/>
        <w:spacing w:after="0" w:line="240" w:lineRule="auto"/>
        <w:jc w:val="center"/>
        <w:rPr>
          <w:rFonts w:ascii="Times New Roman CYR" w:hAnsi="Times New Roman CYR" w:cs="Times New Roman CYR"/>
          <w:b/>
          <w:bCs/>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450"/>
        <w:gridCol w:w="4130"/>
        <w:gridCol w:w="2000"/>
      </w:tblGrid>
      <w:tr w:rsidR="00911C5F" w14:paraId="5EAACC56" w14:textId="77777777">
        <w:tblPrEx>
          <w:tblCellMar>
            <w:top w:w="0" w:type="dxa"/>
            <w:bottom w:w="0" w:type="dxa"/>
          </w:tblCellMar>
        </w:tblPrEx>
        <w:trPr>
          <w:trHeight w:val="300"/>
        </w:trPr>
        <w:tc>
          <w:tcPr>
            <w:tcW w:w="4450" w:type="dxa"/>
            <w:vMerge w:val="restart"/>
            <w:tcBorders>
              <w:top w:val="nil"/>
              <w:left w:val="nil"/>
              <w:bottom w:val="nil"/>
              <w:right w:val="nil"/>
            </w:tcBorders>
          </w:tcPr>
          <w:p w14:paraId="0C356F34" w14:textId="77777777" w:rsidR="00911C5F" w:rsidRDefault="00911C5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Повідомлення розміщено на власному веб-сайті учасника фондового ринку</w:t>
            </w:r>
          </w:p>
        </w:tc>
        <w:tc>
          <w:tcPr>
            <w:tcW w:w="4130" w:type="dxa"/>
            <w:tcBorders>
              <w:top w:val="nil"/>
              <w:left w:val="nil"/>
              <w:bottom w:val="single" w:sz="6" w:space="0" w:color="auto"/>
              <w:right w:val="nil"/>
            </w:tcBorders>
            <w:vAlign w:val="bottom"/>
          </w:tcPr>
          <w:p w14:paraId="78F7DA81" w14:textId="77777777" w:rsidR="00911C5F" w:rsidRDefault="00911C5F">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2000" w:type="dxa"/>
            <w:tcBorders>
              <w:top w:val="nil"/>
              <w:left w:val="nil"/>
              <w:bottom w:val="single" w:sz="6" w:space="0" w:color="auto"/>
              <w:right w:val="nil"/>
            </w:tcBorders>
            <w:vAlign w:val="bottom"/>
          </w:tcPr>
          <w:p w14:paraId="5786850B" w14:textId="77777777" w:rsidR="00911C5F" w:rsidRDefault="00911C5F">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911C5F" w14:paraId="2BDC6D45" w14:textId="77777777">
        <w:tblPrEx>
          <w:tblCellMar>
            <w:top w:w="0" w:type="dxa"/>
            <w:bottom w:w="0" w:type="dxa"/>
          </w:tblCellMar>
        </w:tblPrEx>
        <w:trPr>
          <w:trHeight w:val="300"/>
        </w:trPr>
        <w:tc>
          <w:tcPr>
            <w:tcW w:w="4450" w:type="dxa"/>
            <w:vMerge/>
            <w:tcBorders>
              <w:top w:val="nil"/>
              <w:left w:val="nil"/>
              <w:bottom w:val="nil"/>
              <w:right w:val="nil"/>
            </w:tcBorders>
          </w:tcPr>
          <w:p w14:paraId="596DFB2C" w14:textId="77777777" w:rsidR="00911C5F" w:rsidRDefault="00911C5F">
            <w:pPr>
              <w:widowControl w:val="0"/>
              <w:autoSpaceDE w:val="0"/>
              <w:autoSpaceDN w:val="0"/>
              <w:adjustRightInd w:val="0"/>
              <w:spacing w:after="0" w:line="240" w:lineRule="auto"/>
              <w:rPr>
                <w:rFonts w:ascii="Times New Roman CYR" w:hAnsi="Times New Roman CYR" w:cs="Times New Roman CYR"/>
                <w:sz w:val="20"/>
                <w:szCs w:val="20"/>
              </w:rPr>
            </w:pPr>
          </w:p>
        </w:tc>
        <w:tc>
          <w:tcPr>
            <w:tcW w:w="4130" w:type="dxa"/>
            <w:tcBorders>
              <w:top w:val="nil"/>
              <w:left w:val="nil"/>
              <w:bottom w:val="nil"/>
              <w:right w:val="nil"/>
            </w:tcBorders>
            <w:vAlign w:val="bottom"/>
          </w:tcPr>
          <w:p w14:paraId="6B49B175" w14:textId="77777777" w:rsidR="00911C5F" w:rsidRDefault="00911C5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(URL-адреса веб-сайту)</w:t>
            </w:r>
          </w:p>
        </w:tc>
        <w:tc>
          <w:tcPr>
            <w:tcW w:w="2000" w:type="dxa"/>
            <w:tcBorders>
              <w:top w:val="nil"/>
              <w:left w:val="nil"/>
              <w:bottom w:val="nil"/>
              <w:right w:val="nil"/>
            </w:tcBorders>
            <w:vAlign w:val="bottom"/>
          </w:tcPr>
          <w:p w14:paraId="0529B39E" w14:textId="77777777" w:rsidR="00911C5F" w:rsidRDefault="00911C5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w:t>
            </w:r>
          </w:p>
        </w:tc>
      </w:tr>
    </w:tbl>
    <w:p w14:paraId="4258C4BC" w14:textId="77777777" w:rsidR="00911C5F" w:rsidRDefault="00911C5F">
      <w:pPr>
        <w:widowControl w:val="0"/>
        <w:autoSpaceDE w:val="0"/>
        <w:autoSpaceDN w:val="0"/>
        <w:adjustRightInd w:val="0"/>
        <w:spacing w:after="0" w:line="240" w:lineRule="auto"/>
        <w:rPr>
          <w:rFonts w:ascii="Times New Roman CYR" w:hAnsi="Times New Roman CYR" w:cs="Times New Roman CYR"/>
          <w:sz w:val="20"/>
          <w:szCs w:val="20"/>
        </w:rPr>
        <w:sectPr w:rsidR="00911C5F">
          <w:pgSz w:w="12240" w:h="15840"/>
          <w:pgMar w:top="850" w:right="850" w:bottom="850" w:left="850" w:header="720" w:footer="720" w:gutter="0"/>
          <w:cols w:space="720"/>
          <w:noEndnote/>
        </w:sectPr>
      </w:pPr>
    </w:p>
    <w:p w14:paraId="628043E0" w14:textId="77777777" w:rsidR="00911C5F" w:rsidRDefault="00911C5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Відомості про прийняття рішення про виплату дивідендів</w:t>
      </w:r>
    </w:p>
    <w:p w14:paraId="6DB8D192" w14:textId="77777777" w:rsidR="00911C5F" w:rsidRDefault="00911C5F">
      <w:pPr>
        <w:widowControl w:val="0"/>
        <w:autoSpaceDE w:val="0"/>
        <w:autoSpaceDN w:val="0"/>
        <w:adjustRightInd w:val="0"/>
        <w:spacing w:after="0" w:line="240" w:lineRule="auto"/>
        <w:jc w:val="center"/>
        <w:rPr>
          <w:rFonts w:ascii="Times New Roman CYR" w:hAnsi="Times New Roman CYR" w:cs="Times New Roman CYR"/>
          <w:sz w:val="24"/>
          <w:szCs w:val="24"/>
        </w:rPr>
      </w:pPr>
    </w:p>
    <w:tbl>
      <w:tblPr>
        <w:tblW w:w="0" w:type="auto"/>
        <w:tblInd w:w="-35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62"/>
        <w:gridCol w:w="1300"/>
        <w:gridCol w:w="2000"/>
        <w:gridCol w:w="2000"/>
        <w:gridCol w:w="2400"/>
        <w:gridCol w:w="2000"/>
      </w:tblGrid>
      <w:tr w:rsidR="00911C5F" w14:paraId="2C7AD110" w14:textId="77777777">
        <w:tblPrEx>
          <w:tblCellMar>
            <w:top w:w="0" w:type="dxa"/>
            <w:bottom w:w="0" w:type="dxa"/>
          </w:tblCellMar>
        </w:tblPrEx>
        <w:trPr>
          <w:trHeight w:val="300"/>
        </w:trPr>
        <w:tc>
          <w:tcPr>
            <w:tcW w:w="762" w:type="dxa"/>
            <w:tcBorders>
              <w:top w:val="single" w:sz="6" w:space="0" w:color="auto"/>
              <w:bottom w:val="single" w:sz="6" w:space="0" w:color="auto"/>
              <w:right w:val="single" w:sz="6" w:space="0" w:color="auto"/>
            </w:tcBorders>
            <w:vAlign w:val="center"/>
          </w:tcPr>
          <w:p w14:paraId="664CCF23" w14:textId="77777777" w:rsidR="00911C5F" w:rsidRDefault="00911C5F">
            <w:pPr>
              <w:widowControl w:val="0"/>
              <w:autoSpaceDE w:val="0"/>
              <w:autoSpaceDN w:val="0"/>
              <w:adjustRightInd w:val="0"/>
              <w:spacing w:after="0" w:line="240" w:lineRule="auto"/>
              <w:jc w:val="center"/>
              <w:rPr>
                <w:rFonts w:ascii="Times New Roman CYR" w:hAnsi="Times New Roman CYR" w:cs="Times New Roman CYR"/>
                <w:b/>
                <w:bCs/>
                <w:sz w:val="20"/>
                <w:szCs w:val="20"/>
              </w:rPr>
            </w:pPr>
            <w:r>
              <w:rPr>
                <w:rFonts w:ascii="Times New Roman CYR" w:hAnsi="Times New Roman CYR" w:cs="Times New Roman CYR"/>
                <w:b/>
                <w:bCs/>
                <w:sz w:val="20"/>
                <w:szCs w:val="20"/>
              </w:rPr>
              <w:t>№ з/п</w:t>
            </w:r>
          </w:p>
        </w:tc>
        <w:tc>
          <w:tcPr>
            <w:tcW w:w="1300" w:type="dxa"/>
            <w:tcBorders>
              <w:top w:val="single" w:sz="6" w:space="0" w:color="auto"/>
              <w:left w:val="single" w:sz="6" w:space="0" w:color="auto"/>
              <w:bottom w:val="single" w:sz="6" w:space="0" w:color="auto"/>
              <w:right w:val="single" w:sz="6" w:space="0" w:color="auto"/>
            </w:tcBorders>
            <w:vAlign w:val="center"/>
          </w:tcPr>
          <w:p w14:paraId="2BB370B8" w14:textId="77777777" w:rsidR="00911C5F" w:rsidRDefault="00911C5F">
            <w:pPr>
              <w:widowControl w:val="0"/>
              <w:autoSpaceDE w:val="0"/>
              <w:autoSpaceDN w:val="0"/>
              <w:adjustRightInd w:val="0"/>
              <w:spacing w:after="0" w:line="240" w:lineRule="auto"/>
              <w:jc w:val="center"/>
              <w:rPr>
                <w:rFonts w:ascii="Times New Roman CYR" w:hAnsi="Times New Roman CYR" w:cs="Times New Roman CYR"/>
                <w:b/>
                <w:bCs/>
                <w:sz w:val="20"/>
                <w:szCs w:val="20"/>
              </w:rPr>
            </w:pPr>
            <w:r>
              <w:rPr>
                <w:rFonts w:ascii="Times New Roman CYR" w:hAnsi="Times New Roman CYR" w:cs="Times New Roman CYR"/>
                <w:b/>
                <w:bCs/>
                <w:sz w:val="20"/>
                <w:szCs w:val="20"/>
              </w:rPr>
              <w:t xml:space="preserve"> Дата вчинення дії</w:t>
            </w:r>
          </w:p>
        </w:tc>
        <w:tc>
          <w:tcPr>
            <w:tcW w:w="2000" w:type="dxa"/>
            <w:tcBorders>
              <w:top w:val="single" w:sz="6" w:space="0" w:color="auto"/>
              <w:left w:val="single" w:sz="6" w:space="0" w:color="auto"/>
              <w:bottom w:val="single" w:sz="6" w:space="0" w:color="auto"/>
              <w:right w:val="single" w:sz="6" w:space="0" w:color="auto"/>
            </w:tcBorders>
            <w:vAlign w:val="center"/>
          </w:tcPr>
          <w:p w14:paraId="1DF8181D" w14:textId="77777777" w:rsidR="00911C5F" w:rsidRDefault="00911C5F">
            <w:pPr>
              <w:widowControl w:val="0"/>
              <w:autoSpaceDE w:val="0"/>
              <w:autoSpaceDN w:val="0"/>
              <w:adjustRightInd w:val="0"/>
              <w:spacing w:after="0" w:line="240" w:lineRule="auto"/>
              <w:jc w:val="center"/>
              <w:rPr>
                <w:rFonts w:ascii="Times New Roman CYR" w:hAnsi="Times New Roman CYR" w:cs="Times New Roman CYR"/>
                <w:b/>
                <w:bCs/>
                <w:sz w:val="20"/>
                <w:szCs w:val="20"/>
              </w:rPr>
            </w:pPr>
            <w:r>
              <w:rPr>
                <w:rFonts w:ascii="Times New Roman CYR" w:hAnsi="Times New Roman CYR" w:cs="Times New Roman CYR"/>
                <w:b/>
                <w:bCs/>
                <w:sz w:val="20"/>
                <w:szCs w:val="20"/>
              </w:rPr>
              <w:t>Розмір дивідендів, що підлягають виплаті, грн</w:t>
            </w:r>
          </w:p>
        </w:tc>
        <w:tc>
          <w:tcPr>
            <w:tcW w:w="2000" w:type="dxa"/>
            <w:tcBorders>
              <w:top w:val="single" w:sz="6" w:space="0" w:color="auto"/>
              <w:left w:val="single" w:sz="6" w:space="0" w:color="auto"/>
              <w:bottom w:val="single" w:sz="6" w:space="0" w:color="auto"/>
              <w:right w:val="single" w:sz="6" w:space="0" w:color="auto"/>
            </w:tcBorders>
            <w:vAlign w:val="center"/>
          </w:tcPr>
          <w:p w14:paraId="51C1DF22" w14:textId="77777777" w:rsidR="00911C5F" w:rsidRDefault="00911C5F">
            <w:pPr>
              <w:widowControl w:val="0"/>
              <w:autoSpaceDE w:val="0"/>
              <w:autoSpaceDN w:val="0"/>
              <w:adjustRightInd w:val="0"/>
              <w:spacing w:after="0" w:line="240" w:lineRule="auto"/>
              <w:jc w:val="center"/>
              <w:rPr>
                <w:rFonts w:ascii="Times New Roman CYR" w:hAnsi="Times New Roman CYR" w:cs="Times New Roman CYR"/>
                <w:b/>
                <w:bCs/>
                <w:sz w:val="20"/>
                <w:szCs w:val="20"/>
              </w:rPr>
            </w:pPr>
            <w:r>
              <w:rPr>
                <w:rFonts w:ascii="Times New Roman CYR" w:hAnsi="Times New Roman CYR" w:cs="Times New Roman CYR"/>
                <w:b/>
                <w:bCs/>
                <w:sz w:val="20"/>
                <w:szCs w:val="20"/>
              </w:rPr>
              <w:t>Розмір дивідендів на одну акцію, грн</w:t>
            </w:r>
          </w:p>
        </w:tc>
        <w:tc>
          <w:tcPr>
            <w:tcW w:w="2400" w:type="dxa"/>
            <w:tcBorders>
              <w:top w:val="single" w:sz="6" w:space="0" w:color="auto"/>
              <w:left w:val="single" w:sz="6" w:space="0" w:color="auto"/>
              <w:bottom w:val="single" w:sz="6" w:space="0" w:color="auto"/>
              <w:right w:val="single" w:sz="6" w:space="0" w:color="auto"/>
            </w:tcBorders>
            <w:vAlign w:val="center"/>
          </w:tcPr>
          <w:p w14:paraId="159A09F3" w14:textId="77777777" w:rsidR="00911C5F" w:rsidRDefault="00911C5F">
            <w:pPr>
              <w:widowControl w:val="0"/>
              <w:autoSpaceDE w:val="0"/>
              <w:autoSpaceDN w:val="0"/>
              <w:adjustRightInd w:val="0"/>
              <w:spacing w:after="0" w:line="240" w:lineRule="auto"/>
              <w:jc w:val="center"/>
              <w:rPr>
                <w:rFonts w:ascii="Times New Roman CYR" w:hAnsi="Times New Roman CYR" w:cs="Times New Roman CYR"/>
                <w:b/>
                <w:bCs/>
                <w:sz w:val="20"/>
                <w:szCs w:val="20"/>
              </w:rPr>
            </w:pPr>
            <w:r>
              <w:rPr>
                <w:rFonts w:ascii="Times New Roman CYR" w:hAnsi="Times New Roman CYR" w:cs="Times New Roman CYR"/>
                <w:b/>
                <w:bCs/>
                <w:sz w:val="20"/>
                <w:szCs w:val="20"/>
              </w:rPr>
              <w:t>Строк виплати дивідендів</w:t>
            </w:r>
          </w:p>
        </w:tc>
        <w:tc>
          <w:tcPr>
            <w:tcW w:w="2000" w:type="dxa"/>
            <w:tcBorders>
              <w:top w:val="single" w:sz="6" w:space="0" w:color="auto"/>
              <w:left w:val="single" w:sz="6" w:space="0" w:color="auto"/>
              <w:bottom w:val="single" w:sz="6" w:space="0" w:color="auto"/>
            </w:tcBorders>
            <w:vAlign w:val="center"/>
          </w:tcPr>
          <w:p w14:paraId="517C66A6" w14:textId="77777777" w:rsidR="00911C5F" w:rsidRDefault="00911C5F">
            <w:pPr>
              <w:widowControl w:val="0"/>
              <w:autoSpaceDE w:val="0"/>
              <w:autoSpaceDN w:val="0"/>
              <w:adjustRightInd w:val="0"/>
              <w:spacing w:after="0" w:line="240" w:lineRule="auto"/>
              <w:jc w:val="center"/>
              <w:rPr>
                <w:rFonts w:ascii="Times New Roman CYR" w:hAnsi="Times New Roman CYR" w:cs="Times New Roman CYR"/>
                <w:b/>
                <w:bCs/>
                <w:sz w:val="20"/>
                <w:szCs w:val="20"/>
              </w:rPr>
            </w:pPr>
            <w:r>
              <w:rPr>
                <w:rFonts w:ascii="Times New Roman CYR" w:hAnsi="Times New Roman CYR" w:cs="Times New Roman CYR"/>
                <w:b/>
                <w:bCs/>
                <w:sz w:val="20"/>
                <w:szCs w:val="20"/>
              </w:rPr>
              <w:t>Спосіб виплати дивідендів</w:t>
            </w:r>
          </w:p>
        </w:tc>
      </w:tr>
      <w:tr w:rsidR="00911C5F" w14:paraId="47924529" w14:textId="77777777">
        <w:tblPrEx>
          <w:tblCellMar>
            <w:top w:w="0" w:type="dxa"/>
            <w:bottom w:w="0" w:type="dxa"/>
          </w:tblCellMar>
        </w:tblPrEx>
        <w:trPr>
          <w:trHeight w:val="300"/>
        </w:trPr>
        <w:tc>
          <w:tcPr>
            <w:tcW w:w="762" w:type="dxa"/>
            <w:tcBorders>
              <w:top w:val="single" w:sz="6" w:space="0" w:color="auto"/>
              <w:bottom w:val="single" w:sz="6" w:space="0" w:color="auto"/>
              <w:right w:val="single" w:sz="6" w:space="0" w:color="auto"/>
            </w:tcBorders>
            <w:vAlign w:val="center"/>
          </w:tcPr>
          <w:p w14:paraId="7EB315B8" w14:textId="77777777" w:rsidR="00911C5F" w:rsidRDefault="00911C5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1300" w:type="dxa"/>
            <w:tcBorders>
              <w:top w:val="single" w:sz="6" w:space="0" w:color="auto"/>
              <w:left w:val="single" w:sz="6" w:space="0" w:color="auto"/>
              <w:bottom w:val="single" w:sz="6" w:space="0" w:color="auto"/>
              <w:right w:val="single" w:sz="6" w:space="0" w:color="auto"/>
            </w:tcBorders>
            <w:vAlign w:val="center"/>
          </w:tcPr>
          <w:p w14:paraId="37553BEA" w14:textId="77777777" w:rsidR="00911C5F" w:rsidRDefault="00911C5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000" w:type="dxa"/>
            <w:tcBorders>
              <w:top w:val="single" w:sz="6" w:space="0" w:color="auto"/>
              <w:left w:val="single" w:sz="6" w:space="0" w:color="auto"/>
              <w:bottom w:val="single" w:sz="6" w:space="0" w:color="auto"/>
              <w:right w:val="single" w:sz="6" w:space="0" w:color="auto"/>
            </w:tcBorders>
            <w:vAlign w:val="center"/>
          </w:tcPr>
          <w:p w14:paraId="5BE85473" w14:textId="77777777" w:rsidR="00911C5F" w:rsidRDefault="00911C5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000" w:type="dxa"/>
            <w:tcBorders>
              <w:top w:val="single" w:sz="6" w:space="0" w:color="auto"/>
              <w:left w:val="single" w:sz="6" w:space="0" w:color="auto"/>
              <w:bottom w:val="single" w:sz="6" w:space="0" w:color="auto"/>
              <w:right w:val="single" w:sz="6" w:space="0" w:color="auto"/>
            </w:tcBorders>
            <w:vAlign w:val="center"/>
          </w:tcPr>
          <w:p w14:paraId="7AFCB4D0" w14:textId="77777777" w:rsidR="00911C5F" w:rsidRDefault="00911C5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2400" w:type="dxa"/>
            <w:tcBorders>
              <w:top w:val="single" w:sz="6" w:space="0" w:color="auto"/>
              <w:left w:val="single" w:sz="6" w:space="0" w:color="auto"/>
              <w:bottom w:val="single" w:sz="6" w:space="0" w:color="auto"/>
              <w:right w:val="single" w:sz="6" w:space="0" w:color="auto"/>
            </w:tcBorders>
            <w:vAlign w:val="center"/>
          </w:tcPr>
          <w:p w14:paraId="4BB18520" w14:textId="77777777" w:rsidR="00911C5F" w:rsidRDefault="00911C5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2000" w:type="dxa"/>
            <w:tcBorders>
              <w:top w:val="single" w:sz="6" w:space="0" w:color="auto"/>
              <w:left w:val="single" w:sz="6" w:space="0" w:color="auto"/>
              <w:bottom w:val="single" w:sz="6" w:space="0" w:color="auto"/>
            </w:tcBorders>
            <w:vAlign w:val="center"/>
          </w:tcPr>
          <w:p w14:paraId="744CF650" w14:textId="77777777" w:rsidR="00911C5F" w:rsidRDefault="00911C5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r>
      <w:tr w:rsidR="00911C5F" w14:paraId="6D57B1F2" w14:textId="77777777">
        <w:tblPrEx>
          <w:tblCellMar>
            <w:top w:w="0" w:type="dxa"/>
            <w:bottom w:w="0" w:type="dxa"/>
          </w:tblCellMar>
        </w:tblPrEx>
        <w:trPr>
          <w:trHeight w:val="300"/>
        </w:trPr>
        <w:tc>
          <w:tcPr>
            <w:tcW w:w="762" w:type="dxa"/>
            <w:tcBorders>
              <w:top w:val="single" w:sz="6" w:space="0" w:color="auto"/>
              <w:bottom w:val="single" w:sz="6" w:space="0" w:color="auto"/>
              <w:right w:val="single" w:sz="6" w:space="0" w:color="auto"/>
            </w:tcBorders>
          </w:tcPr>
          <w:p w14:paraId="51741786" w14:textId="77777777" w:rsidR="00911C5F" w:rsidRDefault="00911C5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1300" w:type="dxa"/>
            <w:tcBorders>
              <w:top w:val="single" w:sz="6" w:space="0" w:color="auto"/>
              <w:left w:val="single" w:sz="6" w:space="0" w:color="auto"/>
              <w:bottom w:val="single" w:sz="6" w:space="0" w:color="auto"/>
              <w:right w:val="single" w:sz="6" w:space="0" w:color="auto"/>
            </w:tcBorders>
          </w:tcPr>
          <w:p w14:paraId="6DB76384" w14:textId="77777777" w:rsidR="00911C5F" w:rsidRDefault="00911C5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09.06.2022</w:t>
            </w:r>
          </w:p>
        </w:tc>
        <w:tc>
          <w:tcPr>
            <w:tcW w:w="2000" w:type="dxa"/>
            <w:tcBorders>
              <w:top w:val="single" w:sz="6" w:space="0" w:color="auto"/>
              <w:left w:val="single" w:sz="6" w:space="0" w:color="auto"/>
              <w:bottom w:val="single" w:sz="6" w:space="0" w:color="auto"/>
              <w:right w:val="single" w:sz="6" w:space="0" w:color="auto"/>
            </w:tcBorders>
          </w:tcPr>
          <w:p w14:paraId="2F71B81D" w14:textId="77777777" w:rsidR="00911C5F" w:rsidRDefault="00911C5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16 164 203</w:t>
            </w:r>
          </w:p>
        </w:tc>
        <w:tc>
          <w:tcPr>
            <w:tcW w:w="2000" w:type="dxa"/>
            <w:tcBorders>
              <w:top w:val="single" w:sz="6" w:space="0" w:color="auto"/>
              <w:left w:val="single" w:sz="6" w:space="0" w:color="auto"/>
              <w:bottom w:val="single" w:sz="6" w:space="0" w:color="auto"/>
              <w:right w:val="single" w:sz="6" w:space="0" w:color="auto"/>
            </w:tcBorders>
          </w:tcPr>
          <w:p w14:paraId="38B0FF6F" w14:textId="77777777" w:rsidR="00911C5F" w:rsidRDefault="00911C5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0,0630090896</w:t>
            </w:r>
          </w:p>
        </w:tc>
        <w:tc>
          <w:tcPr>
            <w:tcW w:w="2400" w:type="dxa"/>
            <w:tcBorders>
              <w:top w:val="single" w:sz="6" w:space="0" w:color="auto"/>
              <w:left w:val="single" w:sz="6" w:space="0" w:color="auto"/>
              <w:bottom w:val="single" w:sz="6" w:space="0" w:color="auto"/>
              <w:right w:val="single" w:sz="6" w:space="0" w:color="auto"/>
            </w:tcBorders>
          </w:tcPr>
          <w:p w14:paraId="7944296D" w14:textId="77777777" w:rsidR="00911C5F" w:rsidRDefault="00911C5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з 30.06.2022 до 30.10.2022</w:t>
            </w:r>
          </w:p>
        </w:tc>
        <w:tc>
          <w:tcPr>
            <w:tcW w:w="2000" w:type="dxa"/>
            <w:tcBorders>
              <w:top w:val="single" w:sz="6" w:space="0" w:color="auto"/>
              <w:left w:val="single" w:sz="6" w:space="0" w:color="auto"/>
              <w:bottom w:val="single" w:sz="6" w:space="0" w:color="auto"/>
            </w:tcBorders>
          </w:tcPr>
          <w:p w14:paraId="46F62E36" w14:textId="77777777" w:rsidR="00911C5F" w:rsidRDefault="00911C5F">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через депозитарну систему</w:t>
            </w:r>
          </w:p>
        </w:tc>
      </w:tr>
      <w:tr w:rsidR="00911C5F" w14:paraId="6E155194" w14:textId="77777777">
        <w:tblPrEx>
          <w:tblCellMar>
            <w:top w:w="0" w:type="dxa"/>
            <w:bottom w:w="0" w:type="dxa"/>
          </w:tblCellMar>
        </w:tblPrEx>
        <w:trPr>
          <w:trHeight w:val="300"/>
        </w:trPr>
        <w:tc>
          <w:tcPr>
            <w:tcW w:w="10462" w:type="dxa"/>
            <w:gridSpan w:val="6"/>
            <w:tcBorders>
              <w:top w:val="single" w:sz="6" w:space="0" w:color="auto"/>
              <w:bottom w:val="single" w:sz="6" w:space="0" w:color="auto"/>
            </w:tcBorders>
            <w:vAlign w:val="center"/>
          </w:tcPr>
          <w:p w14:paraId="58527312" w14:textId="77777777" w:rsidR="00911C5F" w:rsidRDefault="00911C5F">
            <w:pPr>
              <w:widowControl w:val="0"/>
              <w:autoSpaceDE w:val="0"/>
              <w:autoSpaceDN w:val="0"/>
              <w:adjustRightInd w:val="0"/>
              <w:spacing w:after="0" w:line="240" w:lineRule="auto"/>
              <w:rPr>
                <w:rFonts w:ascii="Times New Roman CYR" w:hAnsi="Times New Roman CYR" w:cs="Times New Roman CYR"/>
                <w:b/>
                <w:bCs/>
                <w:sz w:val="20"/>
                <w:szCs w:val="20"/>
              </w:rPr>
            </w:pPr>
            <w:r>
              <w:rPr>
                <w:rFonts w:ascii="Times New Roman CYR" w:hAnsi="Times New Roman CYR" w:cs="Times New Roman CYR"/>
                <w:b/>
                <w:bCs/>
                <w:sz w:val="20"/>
                <w:szCs w:val="20"/>
              </w:rPr>
              <w:t>Зміст інформації:</w:t>
            </w:r>
          </w:p>
        </w:tc>
      </w:tr>
      <w:tr w:rsidR="00911C5F" w14:paraId="46FD519B" w14:textId="77777777">
        <w:tblPrEx>
          <w:tblCellMar>
            <w:top w:w="0" w:type="dxa"/>
            <w:bottom w:w="0" w:type="dxa"/>
          </w:tblCellMar>
        </w:tblPrEx>
        <w:trPr>
          <w:trHeight w:val="300"/>
        </w:trPr>
        <w:tc>
          <w:tcPr>
            <w:tcW w:w="10462" w:type="dxa"/>
            <w:gridSpan w:val="6"/>
            <w:tcBorders>
              <w:top w:val="single" w:sz="6" w:space="0" w:color="auto"/>
              <w:bottom w:val="single" w:sz="6" w:space="0" w:color="auto"/>
            </w:tcBorders>
            <w:vAlign w:val="center"/>
          </w:tcPr>
          <w:p w14:paraId="42E78504" w14:textId="77777777" w:rsidR="00911C5F" w:rsidRDefault="00911C5F">
            <w:pPr>
              <w:widowControl w:val="0"/>
              <w:autoSpaceDE w:val="0"/>
              <w:autoSpaceDN w:val="0"/>
              <w:adjustRightInd w:val="0"/>
              <w:spacing w:after="0" w:line="240" w:lineRule="auto"/>
              <w:jc w:val="both"/>
              <w:rPr>
                <w:rFonts w:ascii="Times New Roman CYR" w:hAnsi="Times New Roman CYR" w:cs="Times New Roman CYR"/>
                <w:sz w:val="20"/>
                <w:szCs w:val="20"/>
              </w:rPr>
            </w:pPr>
            <w:r>
              <w:rPr>
                <w:rFonts w:ascii="Times New Roman CYR" w:hAnsi="Times New Roman CYR" w:cs="Times New Roman CYR"/>
                <w:sz w:val="20"/>
                <w:szCs w:val="20"/>
              </w:rPr>
              <w:t>Рiшенням Загальних Зборiв акцiонерiв вiд 06 червня 2022 року (протокол № 8), які відбулися дистанційно (протокол Лічильної комісії від 09.06.2022) прийнято рiшення:</w:t>
            </w:r>
          </w:p>
          <w:p w14:paraId="46E6B3CF" w14:textId="77777777" w:rsidR="00911C5F" w:rsidRDefault="00911C5F">
            <w:pPr>
              <w:widowControl w:val="0"/>
              <w:autoSpaceDE w:val="0"/>
              <w:autoSpaceDN w:val="0"/>
              <w:adjustRightInd w:val="0"/>
              <w:spacing w:after="0" w:line="240" w:lineRule="auto"/>
              <w:jc w:val="both"/>
              <w:rPr>
                <w:rFonts w:ascii="Times New Roman CYR" w:hAnsi="Times New Roman CYR" w:cs="Times New Roman CYR"/>
                <w:sz w:val="20"/>
                <w:szCs w:val="20"/>
              </w:rPr>
            </w:pPr>
            <w:r>
              <w:rPr>
                <w:rFonts w:ascii="Times New Roman CYR" w:hAnsi="Times New Roman CYR" w:cs="Times New Roman CYR"/>
                <w:sz w:val="20"/>
                <w:szCs w:val="20"/>
              </w:rPr>
              <w:t>1. Розподілити чистий прибуток, отриманий Товариством за результатами фінансово-господарської діяльності у 2021 році, з урахуванням Закону України "Про управління об'єктами державної власності" та постанови Кабінету Міністрів України "Про затвердження базового нормативу відрахування частки прибутку, що спрямовується на виплату дивідендів за результатами фінансово-господарської діяльності у 2021 році господарських товариств, у статутному капіталі яких є корпоративні права держави", наступним чином:</w:t>
            </w:r>
          </w:p>
          <w:p w14:paraId="1B8CDF5F" w14:textId="77777777" w:rsidR="00911C5F" w:rsidRDefault="00911C5F">
            <w:pPr>
              <w:widowControl w:val="0"/>
              <w:autoSpaceDE w:val="0"/>
              <w:autoSpaceDN w:val="0"/>
              <w:adjustRightInd w:val="0"/>
              <w:spacing w:after="0" w:line="240" w:lineRule="auto"/>
              <w:jc w:val="both"/>
              <w:rPr>
                <w:rFonts w:ascii="Times New Roman CYR" w:hAnsi="Times New Roman CYR" w:cs="Times New Roman CYR"/>
                <w:sz w:val="20"/>
                <w:szCs w:val="20"/>
              </w:rPr>
            </w:pPr>
            <w:r>
              <w:rPr>
                <w:rFonts w:ascii="Times New Roman CYR" w:hAnsi="Times New Roman CYR" w:cs="Times New Roman CYR"/>
                <w:sz w:val="20"/>
                <w:szCs w:val="20"/>
              </w:rPr>
              <w:t xml:space="preserve">     -  90 % - на виплату дивідендів акціонерам Товариства;</w:t>
            </w:r>
          </w:p>
          <w:p w14:paraId="06620AD2" w14:textId="77777777" w:rsidR="00911C5F" w:rsidRDefault="00911C5F">
            <w:pPr>
              <w:widowControl w:val="0"/>
              <w:autoSpaceDE w:val="0"/>
              <w:autoSpaceDN w:val="0"/>
              <w:adjustRightInd w:val="0"/>
              <w:spacing w:after="0" w:line="240" w:lineRule="auto"/>
              <w:jc w:val="both"/>
              <w:rPr>
                <w:rFonts w:ascii="Times New Roman CYR" w:hAnsi="Times New Roman CYR" w:cs="Times New Roman CYR"/>
                <w:sz w:val="20"/>
                <w:szCs w:val="20"/>
              </w:rPr>
            </w:pPr>
            <w:r>
              <w:rPr>
                <w:rFonts w:ascii="Times New Roman CYR" w:hAnsi="Times New Roman CYR" w:cs="Times New Roman CYR"/>
                <w:sz w:val="20"/>
                <w:szCs w:val="20"/>
              </w:rPr>
              <w:t xml:space="preserve">     -  10 % - на здійснення витрат, передбачених фінансовим планом Товариства на 2022 рік;</w:t>
            </w:r>
          </w:p>
          <w:p w14:paraId="7A45BC74" w14:textId="77777777" w:rsidR="00911C5F" w:rsidRDefault="00911C5F">
            <w:pPr>
              <w:widowControl w:val="0"/>
              <w:autoSpaceDE w:val="0"/>
              <w:autoSpaceDN w:val="0"/>
              <w:adjustRightInd w:val="0"/>
              <w:spacing w:after="0" w:line="240" w:lineRule="auto"/>
              <w:jc w:val="both"/>
              <w:rPr>
                <w:rFonts w:ascii="Times New Roman CYR" w:hAnsi="Times New Roman CYR" w:cs="Times New Roman CYR"/>
                <w:sz w:val="20"/>
                <w:szCs w:val="20"/>
              </w:rPr>
            </w:pPr>
            <w:r>
              <w:rPr>
                <w:rFonts w:ascii="Times New Roman CYR" w:hAnsi="Times New Roman CYR" w:cs="Times New Roman CYR"/>
                <w:sz w:val="20"/>
                <w:szCs w:val="20"/>
              </w:rPr>
              <w:t>2. Затвердити загальний розмір річних дивідендів за підсумками роботи Товариства за 2021 рік у розмірі - 16 164,203 тис. грн.</w:t>
            </w:r>
          </w:p>
          <w:p w14:paraId="605BA7BF" w14:textId="77777777" w:rsidR="00911C5F" w:rsidRDefault="00911C5F">
            <w:pPr>
              <w:widowControl w:val="0"/>
              <w:autoSpaceDE w:val="0"/>
              <w:autoSpaceDN w:val="0"/>
              <w:adjustRightInd w:val="0"/>
              <w:spacing w:after="0" w:line="240" w:lineRule="auto"/>
              <w:jc w:val="both"/>
              <w:rPr>
                <w:rFonts w:ascii="Times New Roman CYR" w:hAnsi="Times New Roman CYR" w:cs="Times New Roman CYR"/>
                <w:sz w:val="20"/>
                <w:szCs w:val="20"/>
              </w:rPr>
            </w:pPr>
            <w:r>
              <w:rPr>
                <w:rFonts w:ascii="Times New Roman CYR" w:hAnsi="Times New Roman CYR" w:cs="Times New Roman CYR"/>
                <w:sz w:val="20"/>
                <w:szCs w:val="20"/>
              </w:rPr>
              <w:t>3.  Встановити, що виплата дивідендів здійснюється Товариством через депозитарну систему України в порядку, встановленому Національною комісією з цінних паперів та фондового ринку.</w:t>
            </w:r>
          </w:p>
          <w:p w14:paraId="373F4319" w14:textId="77777777" w:rsidR="00911C5F" w:rsidRDefault="00911C5F">
            <w:pPr>
              <w:widowControl w:val="0"/>
              <w:autoSpaceDE w:val="0"/>
              <w:autoSpaceDN w:val="0"/>
              <w:adjustRightInd w:val="0"/>
              <w:spacing w:after="0" w:line="240" w:lineRule="auto"/>
              <w:jc w:val="both"/>
              <w:rPr>
                <w:rFonts w:ascii="Times New Roman CYR" w:hAnsi="Times New Roman CYR" w:cs="Times New Roman CYR"/>
                <w:sz w:val="20"/>
                <w:szCs w:val="20"/>
              </w:rPr>
            </w:pPr>
            <w:r>
              <w:rPr>
                <w:rFonts w:ascii="Times New Roman CYR" w:hAnsi="Times New Roman CYR" w:cs="Times New Roman CYR"/>
                <w:sz w:val="20"/>
                <w:szCs w:val="20"/>
              </w:rPr>
              <w:t>4. Передбачити, що у разі незатвердження висновків зовнішнього (незалежного) аудитора за 2021 рік, та у випадку корегування фінансових показників Товариства на підставі висновків зовнішнього (незалежного) аудиту, чистий прибуток Товариства та його розподіл підлягають корегуванню.</w:t>
            </w:r>
          </w:p>
          <w:p w14:paraId="10FDE177" w14:textId="77777777" w:rsidR="00911C5F" w:rsidRDefault="00911C5F">
            <w:pPr>
              <w:widowControl w:val="0"/>
              <w:autoSpaceDE w:val="0"/>
              <w:autoSpaceDN w:val="0"/>
              <w:adjustRightInd w:val="0"/>
              <w:spacing w:after="0" w:line="240" w:lineRule="auto"/>
              <w:jc w:val="both"/>
              <w:rPr>
                <w:rFonts w:ascii="Times New Roman CYR" w:hAnsi="Times New Roman CYR" w:cs="Times New Roman CYR"/>
                <w:sz w:val="20"/>
                <w:szCs w:val="20"/>
              </w:rPr>
            </w:pPr>
            <w:r>
              <w:rPr>
                <w:rFonts w:ascii="Times New Roman CYR" w:hAnsi="Times New Roman CYR" w:cs="Times New Roman CYR"/>
                <w:sz w:val="20"/>
                <w:szCs w:val="20"/>
              </w:rPr>
              <w:t>Наглядовою радою Товариства 15 червня 2022 року було вирішено:</w:t>
            </w:r>
          </w:p>
          <w:p w14:paraId="76BF3B5D" w14:textId="77777777" w:rsidR="00911C5F" w:rsidRDefault="00911C5F">
            <w:pPr>
              <w:widowControl w:val="0"/>
              <w:autoSpaceDE w:val="0"/>
              <w:autoSpaceDN w:val="0"/>
              <w:adjustRightInd w:val="0"/>
              <w:spacing w:after="0" w:line="240" w:lineRule="auto"/>
              <w:jc w:val="both"/>
              <w:rPr>
                <w:rFonts w:ascii="Times New Roman CYR" w:hAnsi="Times New Roman CYR" w:cs="Times New Roman CYR"/>
                <w:sz w:val="20"/>
                <w:szCs w:val="20"/>
              </w:rPr>
            </w:pPr>
            <w:r>
              <w:rPr>
                <w:rFonts w:ascii="Times New Roman CYR" w:hAnsi="Times New Roman CYR" w:cs="Times New Roman CYR"/>
                <w:sz w:val="20"/>
                <w:szCs w:val="20"/>
              </w:rPr>
              <w:t xml:space="preserve">1. Визначити, що датою складення переліку осіб, які мають право на отримання дивідендів за результатами фінансово-господарської діяльності Товариства у 2021 році, є робочий день, що наступає після спливу десяти робочих днів з моменту прийняття цього рішення. </w:t>
            </w:r>
          </w:p>
          <w:p w14:paraId="21555446" w14:textId="77777777" w:rsidR="00911C5F" w:rsidRDefault="00911C5F">
            <w:pPr>
              <w:widowControl w:val="0"/>
              <w:autoSpaceDE w:val="0"/>
              <w:autoSpaceDN w:val="0"/>
              <w:adjustRightInd w:val="0"/>
              <w:spacing w:after="0" w:line="240" w:lineRule="auto"/>
              <w:jc w:val="both"/>
              <w:rPr>
                <w:rFonts w:ascii="Times New Roman CYR" w:hAnsi="Times New Roman CYR" w:cs="Times New Roman CYR"/>
                <w:sz w:val="20"/>
                <w:szCs w:val="20"/>
              </w:rPr>
            </w:pPr>
            <w:r>
              <w:rPr>
                <w:rFonts w:ascii="Times New Roman CYR" w:hAnsi="Times New Roman CYR" w:cs="Times New Roman CYR"/>
                <w:sz w:val="20"/>
                <w:szCs w:val="20"/>
              </w:rPr>
              <w:t xml:space="preserve">2. Нарахування та виплату дивідендів здійснити у розмірі, визначеному рішенням річних загальних зборів акціонерів Товариства, які були проведені дистанційно 06 червня 2022 року (протокол № 8) та в порядку, визначеному статтею 30 Закону України "Про акціонерні Товариства" - з 30 червня по 30 жовтня 2022 року. </w:t>
            </w:r>
          </w:p>
          <w:p w14:paraId="618ED413" w14:textId="77777777" w:rsidR="00911C5F" w:rsidRDefault="00911C5F">
            <w:pPr>
              <w:widowControl w:val="0"/>
              <w:autoSpaceDE w:val="0"/>
              <w:autoSpaceDN w:val="0"/>
              <w:adjustRightInd w:val="0"/>
              <w:spacing w:after="0" w:line="240" w:lineRule="auto"/>
              <w:jc w:val="both"/>
              <w:rPr>
                <w:rFonts w:ascii="Times New Roman CYR" w:hAnsi="Times New Roman CYR" w:cs="Times New Roman CYR"/>
                <w:sz w:val="20"/>
                <w:szCs w:val="20"/>
              </w:rPr>
            </w:pPr>
            <w:r>
              <w:rPr>
                <w:rFonts w:ascii="Times New Roman CYR" w:hAnsi="Times New Roman CYR" w:cs="Times New Roman CYR"/>
                <w:sz w:val="20"/>
                <w:szCs w:val="20"/>
              </w:rPr>
              <w:t>3. Протягом 10 днів із дати складення переліку осіб, які мають право на отримання дивідендів, Товариству повідомити осіб, які мають право на отримання дивідендів, про дату, розмір, порядок та строк їх виплати шляхом розміщення повідомлення на офіційному вебсайті Товариства.</w:t>
            </w:r>
          </w:p>
          <w:p w14:paraId="3F6AC427" w14:textId="77777777" w:rsidR="00911C5F" w:rsidRDefault="00911C5F">
            <w:pPr>
              <w:widowControl w:val="0"/>
              <w:autoSpaceDE w:val="0"/>
              <w:autoSpaceDN w:val="0"/>
              <w:adjustRightInd w:val="0"/>
              <w:spacing w:after="0" w:line="240" w:lineRule="auto"/>
              <w:jc w:val="both"/>
              <w:rPr>
                <w:rFonts w:ascii="Times New Roman CYR" w:hAnsi="Times New Roman CYR" w:cs="Times New Roman CYR"/>
                <w:sz w:val="20"/>
                <w:szCs w:val="20"/>
              </w:rPr>
            </w:pPr>
          </w:p>
          <w:p w14:paraId="7DF3F18B" w14:textId="77777777" w:rsidR="00911C5F" w:rsidRDefault="00911C5F">
            <w:pPr>
              <w:widowControl w:val="0"/>
              <w:autoSpaceDE w:val="0"/>
              <w:autoSpaceDN w:val="0"/>
              <w:adjustRightInd w:val="0"/>
              <w:spacing w:after="0" w:line="240" w:lineRule="auto"/>
              <w:jc w:val="both"/>
              <w:rPr>
                <w:rFonts w:ascii="Times New Roman CYR" w:hAnsi="Times New Roman CYR" w:cs="Times New Roman CYR"/>
                <w:sz w:val="20"/>
                <w:szCs w:val="20"/>
              </w:rPr>
            </w:pPr>
            <w:r>
              <w:rPr>
                <w:rFonts w:ascii="Times New Roman CYR" w:hAnsi="Times New Roman CYR" w:cs="Times New Roman CYR"/>
                <w:sz w:val="20"/>
                <w:szCs w:val="20"/>
              </w:rPr>
              <w:t>Розмiр дивiдендiв, що пiдлягають виплатi, складає: 16 164 203,00 гривень (включаючи податок). Розмiр дивiдендiв на 1 (одну) просту iменну акцiю становить: 0,06300908962 гривень. Порядок виплати - дивiденди виплачуються у повному обсязi.</w:t>
            </w:r>
          </w:p>
          <w:p w14:paraId="1286587C" w14:textId="77777777" w:rsidR="00911C5F" w:rsidRDefault="00911C5F">
            <w:pPr>
              <w:widowControl w:val="0"/>
              <w:autoSpaceDE w:val="0"/>
              <w:autoSpaceDN w:val="0"/>
              <w:adjustRightInd w:val="0"/>
              <w:spacing w:after="0" w:line="240" w:lineRule="auto"/>
              <w:jc w:val="both"/>
              <w:rPr>
                <w:rFonts w:ascii="Times New Roman CYR" w:hAnsi="Times New Roman CYR" w:cs="Times New Roman CYR"/>
                <w:sz w:val="20"/>
                <w:szCs w:val="20"/>
              </w:rPr>
            </w:pPr>
          </w:p>
        </w:tc>
      </w:tr>
    </w:tbl>
    <w:p w14:paraId="7F3088DD" w14:textId="77777777" w:rsidR="00911C5F" w:rsidRDefault="00911C5F">
      <w:pPr>
        <w:widowControl w:val="0"/>
        <w:autoSpaceDE w:val="0"/>
        <w:autoSpaceDN w:val="0"/>
        <w:adjustRightInd w:val="0"/>
        <w:spacing w:after="0" w:line="240" w:lineRule="auto"/>
        <w:rPr>
          <w:rFonts w:ascii="Times New Roman CYR" w:hAnsi="Times New Roman CYR" w:cs="Times New Roman CYR"/>
          <w:sz w:val="20"/>
          <w:szCs w:val="20"/>
        </w:rPr>
      </w:pPr>
    </w:p>
    <w:sectPr w:rsidR="00911C5F">
      <w:pgSz w:w="12240" w:h="15840"/>
      <w:pgMar w:top="850" w:right="850" w:bottom="850" w:left="14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D02E2"/>
    <w:rsid w:val="0020308F"/>
    <w:rsid w:val="008D02E2"/>
    <w:rsid w:val="00911C5F"/>
    <w:rsid w:val="00FB7D53"/>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9F19C85"/>
  <w14:defaultImageDpi w14:val="0"/>
  <w15:docId w15:val="{0B2F554C-047A-4391-95AC-9D5D0C42D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UA" w:eastAsia="ru-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776</Words>
  <Characters>4427</Characters>
  <Application>Microsoft Office Word</Application>
  <DocSecurity>0</DocSecurity>
  <Lines>36</Lines>
  <Paragraphs>10</Paragraphs>
  <ScaleCrop>false</ScaleCrop>
  <Company/>
  <LinksUpToDate>false</LinksUpToDate>
  <CharactersWithSpaces>5193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Турченко Олена Тарасівна</dc:creator>
  <cp:keywords/>
  <dc:description/>
  <cp:lastModifiedBy>Турченко Олена Тарасівна</cp:lastModifiedBy>
  <cp:revision>2</cp:revision>
  <cp:lastPrinted>2022-07-11T08:03:00Z</cp:lastPrinted>
  <dcterms:created xsi:type="dcterms:W3CDTF">2022-07-12T06:40:00Z</dcterms:created>
  <dcterms:modified xsi:type="dcterms:W3CDTF">2022-07-12T06:40:00Z</dcterms:modified>
</cp:coreProperties>
</file>